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950"/>
        <w:gridCol w:w="1150"/>
      </w:tblGrid>
      <w:tr w:rsidR="001D5DC8" w:rsidRPr="004611C9" w14:paraId="21E0F821" w14:textId="77777777" w:rsidTr="00073FBC">
        <w:trPr>
          <w:cantSplit/>
          <w:trHeight w:val="1894"/>
        </w:trPr>
        <w:tc>
          <w:tcPr>
            <w:tcW w:w="926" w:type="dxa"/>
            <w:tcBorders>
              <w:top w:val="thinThickSmallGap" w:sz="24" w:space="0" w:color="auto"/>
              <w:left w:val="thinThickSmallGap" w:sz="24" w:space="0" w:color="auto"/>
              <w:bottom w:val="thinThickSmallGap" w:sz="24" w:space="0" w:color="auto"/>
              <w:right w:val="nil"/>
            </w:tcBorders>
            <w:hideMark/>
          </w:tcPr>
          <w:p w14:paraId="52518D5C" w14:textId="77777777" w:rsidR="001D5DC8" w:rsidRPr="004611C9" w:rsidRDefault="001D5DC8" w:rsidP="00073FBC">
            <w:pPr>
              <w:spacing w:after="0" w:line="240" w:lineRule="auto"/>
              <w:jc w:val="center"/>
              <w:rPr>
                <w:b/>
                <w:i/>
              </w:rPr>
            </w:pPr>
            <w:bookmarkStart w:id="0" w:name="_GoBack"/>
            <w:bookmarkEnd w:id="0"/>
            <w:r w:rsidRPr="004611C9">
              <w:rPr>
                <w:noProof/>
                <w:lang w:eastAsia="ru-RU"/>
              </w:rPr>
              <w:drawing>
                <wp:anchor distT="0" distB="0" distL="114300" distR="114300" simplePos="0" relativeHeight="251659264" behindDoc="0" locked="0" layoutInCell="1" allowOverlap="1" wp14:anchorId="4E9BD60A" wp14:editId="4B6F257C">
                  <wp:simplePos x="0" y="0"/>
                  <wp:positionH relativeFrom="column">
                    <wp:posOffset>64770</wp:posOffset>
                  </wp:positionH>
                  <wp:positionV relativeFrom="paragraph">
                    <wp:posOffset>340995</wp:posOffset>
                  </wp:positionV>
                  <wp:extent cx="464820" cy="531495"/>
                  <wp:effectExtent l="0" t="0" r="0" b="1905"/>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0" w:type="dxa"/>
            <w:tcBorders>
              <w:top w:val="thinThickSmallGap" w:sz="24" w:space="0" w:color="auto"/>
              <w:left w:val="nil"/>
              <w:bottom w:val="thinThickSmallGap" w:sz="24" w:space="0" w:color="auto"/>
              <w:right w:val="nil"/>
            </w:tcBorders>
          </w:tcPr>
          <w:p w14:paraId="1DA8DFA3" w14:textId="77777777" w:rsidR="001D5DC8" w:rsidRPr="004611C9" w:rsidRDefault="001D5DC8" w:rsidP="00073FBC">
            <w:pPr>
              <w:spacing w:after="0" w:line="240" w:lineRule="auto"/>
              <w:jc w:val="center"/>
              <w:rPr>
                <w:b/>
                <w:sz w:val="20"/>
                <w:szCs w:val="20"/>
              </w:rPr>
            </w:pPr>
            <w:r w:rsidRPr="004611C9">
              <w:rPr>
                <w:b/>
                <w:sz w:val="20"/>
                <w:szCs w:val="20"/>
              </w:rPr>
              <w:t>Омская областная организация Профсоюза</w:t>
            </w:r>
          </w:p>
          <w:p w14:paraId="72982230" w14:textId="77777777" w:rsidR="001D5DC8" w:rsidRPr="004611C9" w:rsidRDefault="001D5DC8" w:rsidP="00073FBC">
            <w:pPr>
              <w:spacing w:after="0" w:line="240" w:lineRule="auto"/>
              <w:jc w:val="center"/>
              <w:rPr>
                <w:b/>
                <w:sz w:val="20"/>
                <w:szCs w:val="20"/>
              </w:rPr>
            </w:pPr>
            <w:r w:rsidRPr="004611C9">
              <w:rPr>
                <w:b/>
                <w:sz w:val="20"/>
                <w:szCs w:val="20"/>
              </w:rPr>
              <w:t>работников народного образования и науки РФ</w:t>
            </w:r>
          </w:p>
          <w:p w14:paraId="5164918F" w14:textId="77777777" w:rsidR="001D5DC8" w:rsidRPr="004611C9" w:rsidRDefault="001D5DC8" w:rsidP="00073FBC">
            <w:pPr>
              <w:pStyle w:val="1"/>
              <w:spacing w:before="0" w:line="240" w:lineRule="auto"/>
              <w:jc w:val="center"/>
              <w:rPr>
                <w:sz w:val="44"/>
                <w:szCs w:val="44"/>
              </w:rPr>
            </w:pPr>
            <w:r w:rsidRPr="004611C9">
              <w:rPr>
                <w:sz w:val="44"/>
                <w:szCs w:val="44"/>
              </w:rPr>
              <w:t>Экспресс-информация</w:t>
            </w:r>
          </w:p>
          <w:p w14:paraId="1A30FA30" w14:textId="77777777" w:rsidR="001D5DC8" w:rsidRPr="004611C9" w:rsidRDefault="001D5DC8" w:rsidP="00073FBC">
            <w:pPr>
              <w:spacing w:after="0" w:line="240" w:lineRule="auto"/>
              <w:jc w:val="center"/>
              <w:rPr>
                <w:sz w:val="18"/>
                <w:szCs w:val="18"/>
              </w:rPr>
            </w:pPr>
            <w:r w:rsidRPr="004611C9">
              <w:rPr>
                <w:sz w:val="18"/>
                <w:szCs w:val="18"/>
              </w:rPr>
              <w:t>Лицензия ИД 00342 от 27.10.99 Министерства</w:t>
            </w:r>
          </w:p>
          <w:p w14:paraId="63FAB1BE" w14:textId="77777777" w:rsidR="001D5DC8" w:rsidRPr="004611C9" w:rsidRDefault="001D5DC8" w:rsidP="00073FBC">
            <w:pPr>
              <w:spacing w:after="0" w:line="240" w:lineRule="auto"/>
              <w:jc w:val="center"/>
              <w:rPr>
                <w:sz w:val="18"/>
                <w:szCs w:val="18"/>
              </w:rPr>
            </w:pPr>
            <w:r w:rsidRPr="004611C9">
              <w:rPr>
                <w:sz w:val="18"/>
                <w:szCs w:val="18"/>
              </w:rPr>
              <w:t>Российской Федерации по делам печати,</w:t>
            </w:r>
          </w:p>
          <w:p w14:paraId="2381A99B" w14:textId="77777777" w:rsidR="001D5DC8" w:rsidRPr="004611C9" w:rsidRDefault="001D5DC8" w:rsidP="00073FBC">
            <w:pPr>
              <w:spacing w:after="0" w:line="240" w:lineRule="auto"/>
              <w:jc w:val="center"/>
              <w:rPr>
                <w:b/>
                <w:i/>
              </w:rPr>
            </w:pPr>
            <w:r w:rsidRPr="004611C9">
              <w:rPr>
                <w:sz w:val="18"/>
                <w:szCs w:val="18"/>
              </w:rPr>
              <w:t>телерадиовещания и средств массовых коммуникаций</w:t>
            </w:r>
          </w:p>
        </w:tc>
        <w:tc>
          <w:tcPr>
            <w:tcW w:w="1150" w:type="dxa"/>
            <w:tcBorders>
              <w:top w:val="thinThickSmallGap" w:sz="24" w:space="0" w:color="auto"/>
              <w:left w:val="nil"/>
              <w:bottom w:val="thinThickSmallGap" w:sz="24" w:space="0" w:color="auto"/>
              <w:right w:val="thinThickSmallGap" w:sz="24" w:space="0" w:color="auto"/>
            </w:tcBorders>
          </w:tcPr>
          <w:p w14:paraId="40546225" w14:textId="77777777" w:rsidR="001D5DC8" w:rsidRPr="004611C9" w:rsidRDefault="001D5DC8" w:rsidP="00073FBC">
            <w:pPr>
              <w:spacing w:after="0" w:line="240" w:lineRule="auto"/>
              <w:jc w:val="center"/>
              <w:rPr>
                <w:i/>
              </w:rPr>
            </w:pPr>
          </w:p>
          <w:p w14:paraId="0046002F" w14:textId="77777777" w:rsidR="001D5DC8" w:rsidRPr="004611C9" w:rsidRDefault="001D5DC8" w:rsidP="00073FBC">
            <w:pPr>
              <w:spacing w:after="0" w:line="240" w:lineRule="auto"/>
              <w:jc w:val="center"/>
              <w:rPr>
                <w:i/>
                <w:sz w:val="6"/>
                <w:szCs w:val="6"/>
              </w:rPr>
            </w:pPr>
          </w:p>
          <w:p w14:paraId="1881BD47" w14:textId="4BEFA9D7" w:rsidR="001D5DC8" w:rsidRPr="004611C9" w:rsidRDefault="001D5DC8" w:rsidP="00073FBC">
            <w:pPr>
              <w:spacing w:after="0" w:line="240" w:lineRule="auto"/>
              <w:jc w:val="center"/>
              <w:rPr>
                <w:b/>
                <w:i/>
                <w:sz w:val="32"/>
                <w:szCs w:val="32"/>
              </w:rPr>
            </w:pPr>
            <w:r w:rsidRPr="004611C9">
              <w:rPr>
                <w:b/>
                <w:sz w:val="28"/>
                <w:szCs w:val="28"/>
              </w:rPr>
              <w:t>№</w:t>
            </w:r>
            <w:r w:rsidRPr="004611C9">
              <w:rPr>
                <w:b/>
                <w:sz w:val="32"/>
                <w:szCs w:val="32"/>
              </w:rPr>
              <w:t xml:space="preserve"> </w:t>
            </w:r>
            <w:r w:rsidR="00631A78">
              <w:rPr>
                <w:b/>
                <w:sz w:val="56"/>
                <w:szCs w:val="56"/>
              </w:rPr>
              <w:t>3</w:t>
            </w:r>
            <w:r>
              <w:rPr>
                <w:b/>
                <w:sz w:val="56"/>
                <w:szCs w:val="56"/>
              </w:rPr>
              <w:t>5</w:t>
            </w:r>
          </w:p>
          <w:p w14:paraId="44471B18" w14:textId="77777777" w:rsidR="001D5DC8" w:rsidRPr="004611C9" w:rsidRDefault="001D5DC8" w:rsidP="00073FBC">
            <w:pPr>
              <w:spacing w:after="0" w:line="240" w:lineRule="auto"/>
              <w:jc w:val="center"/>
              <w:rPr>
                <w:b/>
                <w:i/>
                <w:sz w:val="6"/>
                <w:szCs w:val="6"/>
              </w:rPr>
            </w:pPr>
          </w:p>
          <w:p w14:paraId="76E748CE" w14:textId="77777777" w:rsidR="001D5DC8" w:rsidRPr="004611C9" w:rsidRDefault="001D5DC8" w:rsidP="00073FBC">
            <w:pPr>
              <w:spacing w:after="0" w:line="240" w:lineRule="auto"/>
              <w:jc w:val="center"/>
              <w:rPr>
                <w:b/>
                <w:sz w:val="40"/>
                <w:szCs w:val="40"/>
              </w:rPr>
            </w:pPr>
            <w:r w:rsidRPr="004611C9">
              <w:rPr>
                <w:b/>
                <w:sz w:val="40"/>
                <w:szCs w:val="40"/>
              </w:rPr>
              <w:t>20</w:t>
            </w:r>
            <w:r>
              <w:rPr>
                <w:b/>
                <w:sz w:val="40"/>
                <w:szCs w:val="40"/>
              </w:rPr>
              <w:t>22</w:t>
            </w:r>
          </w:p>
        </w:tc>
      </w:tr>
    </w:tbl>
    <w:p w14:paraId="61B998B7" w14:textId="28249267" w:rsidR="001D5DC8" w:rsidRDefault="001D5DC8"/>
    <w:p w14:paraId="1E113ECE" w14:textId="16A31FF5" w:rsidR="001D5DC8" w:rsidRDefault="001D5DC8"/>
    <w:p w14:paraId="1E29135D" w14:textId="77777777" w:rsidR="001D5DC8" w:rsidRDefault="001D5DC8" w:rsidP="001D5DC8">
      <w:pPr>
        <w:spacing w:after="0" w:line="240" w:lineRule="auto"/>
        <w:jc w:val="center"/>
        <w:rPr>
          <w:rFonts w:ascii="Times New Roman" w:eastAsia="Calibri" w:hAnsi="Times New Roman" w:cs="Times New Roman"/>
          <w:b/>
          <w:sz w:val="36"/>
          <w:szCs w:val="36"/>
        </w:rPr>
      </w:pPr>
    </w:p>
    <w:p w14:paraId="7DE861DD" w14:textId="56FF6095" w:rsidR="001D5DC8" w:rsidRDefault="001D5DC8" w:rsidP="00916607">
      <w:pPr>
        <w:spacing w:after="0" w:line="240" w:lineRule="auto"/>
        <w:jc w:val="center"/>
        <w:rPr>
          <w:rFonts w:ascii="Times New Roman" w:eastAsia="Calibri" w:hAnsi="Times New Roman" w:cs="Times New Roman"/>
          <w:b/>
          <w:sz w:val="36"/>
          <w:szCs w:val="36"/>
        </w:rPr>
      </w:pPr>
      <w:r w:rsidRPr="001D5DC8">
        <w:rPr>
          <w:rFonts w:ascii="Times New Roman" w:eastAsia="Calibri" w:hAnsi="Times New Roman" w:cs="Times New Roman"/>
          <w:b/>
          <w:sz w:val="36"/>
          <w:szCs w:val="36"/>
        </w:rPr>
        <w:t xml:space="preserve">Участие Профсоюза </w:t>
      </w:r>
    </w:p>
    <w:p w14:paraId="2893E489" w14:textId="40387310" w:rsidR="001D5DC8" w:rsidRPr="001D5DC8" w:rsidRDefault="001D5DC8" w:rsidP="00916607">
      <w:pPr>
        <w:spacing w:after="0" w:line="240" w:lineRule="auto"/>
        <w:jc w:val="center"/>
        <w:rPr>
          <w:rFonts w:ascii="Times New Roman" w:eastAsia="Calibri" w:hAnsi="Times New Roman" w:cs="Times New Roman"/>
          <w:b/>
          <w:bCs/>
          <w:color w:val="000000"/>
          <w:spacing w:val="-5"/>
          <w:sz w:val="36"/>
          <w:szCs w:val="36"/>
        </w:rPr>
      </w:pPr>
      <w:r w:rsidRPr="001D5DC8">
        <w:rPr>
          <w:rFonts w:ascii="Times New Roman" w:eastAsia="Calibri" w:hAnsi="Times New Roman" w:cs="Times New Roman"/>
          <w:b/>
          <w:sz w:val="36"/>
          <w:szCs w:val="36"/>
        </w:rPr>
        <w:t xml:space="preserve">в подготовке предложений в проект Концепции </w:t>
      </w:r>
      <w:r w:rsidRPr="001D5DC8">
        <w:rPr>
          <w:rFonts w:ascii="Times New Roman" w:eastAsia="Calibri" w:hAnsi="Times New Roman" w:cs="Times New Roman"/>
          <w:b/>
          <w:bCs/>
          <w:color w:val="000000"/>
          <w:spacing w:val="-5"/>
          <w:sz w:val="36"/>
          <w:szCs w:val="36"/>
        </w:rPr>
        <w:t>развития дошкольного образования на период до 2030 года</w:t>
      </w:r>
    </w:p>
    <w:p w14:paraId="1B3664B9"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793016BE" w14:textId="5AA556D3" w:rsidR="00BC534D" w:rsidRDefault="00BC534D" w:rsidP="00BC534D">
      <w:pPr>
        <w:spacing w:after="0" w:line="240" w:lineRule="auto"/>
        <w:contextualSpacing/>
        <w:jc w:val="center"/>
        <w:rPr>
          <w:rStyle w:val="fontstyle01"/>
          <w:rFonts w:ascii="Times New Roman" w:hAnsi="Times New Roman" w:cs="Times New Roman"/>
          <w:i/>
          <w:iCs/>
          <w:sz w:val="32"/>
          <w:szCs w:val="32"/>
        </w:rPr>
      </w:pPr>
      <w:r w:rsidRPr="00BC534D">
        <w:rPr>
          <w:rFonts w:ascii="Times New Roman" w:eastAsia="Calibri" w:hAnsi="Times New Roman" w:cs="Times New Roman"/>
          <w:bCs/>
          <w:i/>
          <w:iCs/>
          <w:color w:val="000000"/>
          <w:spacing w:val="-5"/>
          <w:sz w:val="32"/>
          <w:szCs w:val="32"/>
        </w:rPr>
        <w:t xml:space="preserve">(материалы для обсуждения </w:t>
      </w:r>
      <w:r w:rsidR="00916607" w:rsidRPr="00BC534D">
        <w:rPr>
          <w:rStyle w:val="fontstyle01"/>
          <w:rFonts w:ascii="Times New Roman" w:hAnsi="Times New Roman" w:cs="Times New Roman"/>
          <w:i/>
          <w:iCs/>
          <w:sz w:val="32"/>
          <w:szCs w:val="32"/>
        </w:rPr>
        <w:t>в рамках Всемирного дня действий «За достойный труд»</w:t>
      </w:r>
      <w:r w:rsidRPr="00BC534D">
        <w:rPr>
          <w:rFonts w:ascii="Times New Roman" w:eastAsia="Calibri" w:hAnsi="Times New Roman" w:cs="Times New Roman"/>
          <w:bCs/>
          <w:i/>
          <w:iCs/>
          <w:color w:val="000000"/>
          <w:spacing w:val="-5"/>
          <w:sz w:val="32"/>
          <w:szCs w:val="32"/>
        </w:rPr>
        <w:t xml:space="preserve"> </w:t>
      </w:r>
      <w:r w:rsidRPr="00BC534D">
        <w:rPr>
          <w:rFonts w:ascii="Times New Roman" w:eastAsia="Calibri" w:hAnsi="Times New Roman" w:cs="Times New Roman"/>
          <w:bCs/>
          <w:i/>
          <w:iCs/>
          <w:color w:val="000000"/>
          <w:spacing w:val="-5"/>
          <w:sz w:val="32"/>
          <w:szCs w:val="32"/>
        </w:rPr>
        <w:br/>
      </w:r>
      <w:r w:rsidRPr="00BC534D">
        <w:rPr>
          <w:rStyle w:val="fontstyle01"/>
          <w:rFonts w:ascii="Times New Roman" w:hAnsi="Times New Roman" w:cs="Times New Roman"/>
          <w:i/>
          <w:iCs/>
          <w:sz w:val="32"/>
          <w:szCs w:val="32"/>
        </w:rPr>
        <w:t xml:space="preserve">Всероссийской акции профсоюзов </w:t>
      </w:r>
    </w:p>
    <w:p w14:paraId="1CB410BD" w14:textId="116DD35B" w:rsidR="001D5DC8" w:rsidRPr="00BC534D" w:rsidRDefault="00BC534D" w:rsidP="00BC534D">
      <w:pPr>
        <w:spacing w:after="0" w:line="240" w:lineRule="auto"/>
        <w:contextualSpacing/>
        <w:jc w:val="center"/>
        <w:rPr>
          <w:rFonts w:ascii="Times New Roman" w:eastAsia="Calibri" w:hAnsi="Times New Roman" w:cs="Times New Roman"/>
          <w:bCs/>
          <w:i/>
          <w:iCs/>
          <w:color w:val="000000"/>
          <w:spacing w:val="-5"/>
          <w:sz w:val="32"/>
          <w:szCs w:val="32"/>
        </w:rPr>
      </w:pPr>
      <w:r w:rsidRPr="00BC534D">
        <w:rPr>
          <w:rStyle w:val="fontstyle01"/>
          <w:rFonts w:ascii="Times New Roman" w:hAnsi="Times New Roman" w:cs="Times New Roman"/>
          <w:i/>
          <w:iCs/>
          <w:sz w:val="32"/>
          <w:szCs w:val="32"/>
        </w:rPr>
        <w:t>7 октября 2022 года</w:t>
      </w:r>
      <w:r w:rsidRPr="00BC534D">
        <w:rPr>
          <w:rFonts w:ascii="Times New Roman" w:hAnsi="Times New Roman" w:cs="Times New Roman"/>
          <w:i/>
          <w:iCs/>
          <w:color w:val="000000"/>
          <w:sz w:val="32"/>
          <w:szCs w:val="32"/>
        </w:rPr>
        <w:br/>
      </w:r>
    </w:p>
    <w:p w14:paraId="78DCF095"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46FE6ED6"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3C2D6FF9"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0B7A0F48"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432C659B"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317B1583"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2A7043B9"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2B9649EF"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57C3AC23"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550AC46D"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3FF0394E" w14:textId="77777777" w:rsidR="001D5DC8" w:rsidRDefault="001D5DC8" w:rsidP="001D5DC8">
      <w:pPr>
        <w:spacing w:after="0" w:line="240" w:lineRule="auto"/>
        <w:ind w:firstLine="709"/>
        <w:contextualSpacing/>
        <w:jc w:val="both"/>
        <w:rPr>
          <w:rFonts w:ascii="Times New Roman" w:eastAsia="Calibri" w:hAnsi="Times New Roman" w:cs="Times New Roman"/>
          <w:bCs/>
          <w:color w:val="000000"/>
          <w:spacing w:val="-5"/>
          <w:sz w:val="20"/>
          <w:szCs w:val="20"/>
        </w:rPr>
      </w:pPr>
    </w:p>
    <w:p w14:paraId="2C36F281" w14:textId="680EE01D" w:rsidR="001D5DC8" w:rsidRPr="001D5DC8" w:rsidRDefault="001D5DC8" w:rsidP="001D5DC8">
      <w:pPr>
        <w:spacing w:after="0" w:line="240" w:lineRule="auto"/>
        <w:contextualSpacing/>
        <w:jc w:val="center"/>
        <w:rPr>
          <w:rFonts w:ascii="Times New Roman" w:eastAsia="Calibri" w:hAnsi="Times New Roman" w:cs="Times New Roman"/>
          <w:bCs/>
          <w:color w:val="000000"/>
          <w:spacing w:val="-5"/>
          <w:sz w:val="20"/>
          <w:szCs w:val="20"/>
        </w:rPr>
      </w:pPr>
      <w:r>
        <w:rPr>
          <w:rFonts w:ascii="Times New Roman" w:eastAsia="Calibri" w:hAnsi="Times New Roman" w:cs="Times New Roman"/>
          <w:bCs/>
          <w:color w:val="000000"/>
          <w:spacing w:val="-5"/>
          <w:sz w:val="20"/>
          <w:szCs w:val="20"/>
        </w:rPr>
        <w:t>г. Омск</w:t>
      </w:r>
    </w:p>
    <w:p w14:paraId="4CB329D8" w14:textId="40BE72FF" w:rsidR="001D5DC8" w:rsidRPr="00916607" w:rsidRDefault="001D5DC8" w:rsidP="00916607">
      <w:pPr>
        <w:spacing w:after="0" w:line="240" w:lineRule="auto"/>
        <w:ind w:firstLine="709"/>
        <w:contextualSpacing/>
        <w:jc w:val="both"/>
        <w:rPr>
          <w:rFonts w:ascii="Times New Roman" w:eastAsia="Calibri" w:hAnsi="Times New Roman" w:cs="Times New Roman"/>
          <w:bCs/>
          <w:color w:val="000000"/>
          <w:spacing w:val="-5"/>
          <w:sz w:val="23"/>
          <w:szCs w:val="23"/>
        </w:rPr>
      </w:pPr>
      <w:r w:rsidRPr="00916607">
        <w:rPr>
          <w:rFonts w:ascii="Times New Roman" w:eastAsia="Calibri" w:hAnsi="Times New Roman" w:cs="Times New Roman"/>
          <w:bCs/>
          <w:color w:val="000000"/>
          <w:spacing w:val="-5"/>
          <w:sz w:val="23"/>
          <w:szCs w:val="23"/>
          <w:u w:val="single"/>
        </w:rPr>
        <w:lastRenderedPageBreak/>
        <w:t>Участвуя в</w:t>
      </w:r>
      <w:r w:rsidRPr="00916607">
        <w:rPr>
          <w:rFonts w:ascii="Times New Roman" w:eastAsia="Calibri" w:hAnsi="Times New Roman" w:cs="Times New Roman"/>
          <w:bCs/>
          <w:color w:val="000000"/>
          <w:spacing w:val="-5"/>
          <w:sz w:val="23"/>
          <w:szCs w:val="23"/>
        </w:rPr>
        <w:t xml:space="preserve"> работе созданной Министерством просвещения Российской Федерации </w:t>
      </w:r>
      <w:r w:rsidRPr="00916607">
        <w:rPr>
          <w:rFonts w:ascii="Times New Roman" w:eastAsia="Calibri" w:hAnsi="Times New Roman" w:cs="Times New Roman"/>
          <w:bCs/>
          <w:color w:val="000000"/>
          <w:spacing w:val="-5"/>
          <w:sz w:val="23"/>
          <w:szCs w:val="23"/>
          <w:u w:val="single"/>
        </w:rPr>
        <w:t>рабочей группы</w:t>
      </w:r>
      <w:r w:rsidRPr="00916607">
        <w:rPr>
          <w:rFonts w:ascii="Times New Roman" w:eastAsia="Calibri" w:hAnsi="Times New Roman" w:cs="Times New Roman"/>
          <w:bCs/>
          <w:color w:val="000000"/>
          <w:spacing w:val="-5"/>
          <w:sz w:val="23"/>
          <w:szCs w:val="23"/>
        </w:rPr>
        <w:t xml:space="preserve"> (утв. № Р-43 от 3 марта 2022 г.) по разработке Концепции развития дошкольного образования на период до 2030 года, </w:t>
      </w:r>
      <w:r w:rsidRPr="00916607">
        <w:rPr>
          <w:rFonts w:ascii="Times New Roman" w:eastAsia="Calibri" w:hAnsi="Times New Roman" w:cs="Times New Roman"/>
          <w:bCs/>
          <w:color w:val="000000"/>
          <w:spacing w:val="-5"/>
          <w:sz w:val="23"/>
          <w:szCs w:val="23"/>
          <w:u w:val="single"/>
        </w:rPr>
        <w:t xml:space="preserve">представители Профсоюза разработали и внесли предложения по </w:t>
      </w:r>
      <w:r w:rsidRPr="00916607">
        <w:rPr>
          <w:rFonts w:ascii="Times New Roman" w:eastAsia="Calibri" w:hAnsi="Times New Roman" w:cs="Times New Roman"/>
          <w:sz w:val="23"/>
          <w:szCs w:val="23"/>
          <w:u w:val="single"/>
        </w:rPr>
        <w:t>корректировке проекта структуры концепции,</w:t>
      </w:r>
      <w:r w:rsidRPr="00916607">
        <w:rPr>
          <w:rFonts w:ascii="Times New Roman" w:eastAsia="Calibri" w:hAnsi="Times New Roman" w:cs="Times New Roman"/>
          <w:bCs/>
          <w:color w:val="000000"/>
          <w:spacing w:val="-5"/>
          <w:sz w:val="23"/>
          <w:szCs w:val="23"/>
          <w:u w:val="single"/>
        </w:rPr>
        <w:t xml:space="preserve"> кадровых, материально-технических и финансовых условий развития дошкольного образования</w:t>
      </w:r>
      <w:r w:rsidRPr="00916607">
        <w:rPr>
          <w:rFonts w:ascii="Times New Roman" w:eastAsia="Calibri" w:hAnsi="Times New Roman" w:cs="Times New Roman"/>
          <w:bCs/>
          <w:color w:val="000000"/>
          <w:spacing w:val="-5"/>
          <w:sz w:val="23"/>
          <w:szCs w:val="23"/>
        </w:rPr>
        <w:t xml:space="preserve">. </w:t>
      </w:r>
    </w:p>
    <w:p w14:paraId="105927A7" w14:textId="77777777" w:rsidR="001D5DC8" w:rsidRPr="00916607" w:rsidRDefault="001D5DC8" w:rsidP="00916607">
      <w:pPr>
        <w:spacing w:after="0" w:line="240" w:lineRule="auto"/>
        <w:ind w:firstLine="709"/>
        <w:jc w:val="both"/>
        <w:rPr>
          <w:rFonts w:ascii="Times New Roman" w:eastAsia="Calibri" w:hAnsi="Times New Roman" w:cs="Times New Roman"/>
          <w:bCs/>
          <w:color w:val="000000"/>
          <w:spacing w:val="-5"/>
          <w:sz w:val="23"/>
          <w:szCs w:val="23"/>
        </w:rPr>
      </w:pPr>
      <w:r w:rsidRPr="00916607">
        <w:rPr>
          <w:rFonts w:ascii="Times New Roman" w:eastAsia="Calibri" w:hAnsi="Times New Roman" w:cs="Times New Roman"/>
          <w:sz w:val="23"/>
          <w:szCs w:val="23"/>
        </w:rPr>
        <w:t xml:space="preserve">В частности, </w:t>
      </w:r>
      <w:r w:rsidRPr="00916607">
        <w:rPr>
          <w:rFonts w:ascii="Times New Roman" w:eastAsia="Calibri" w:hAnsi="Times New Roman" w:cs="Times New Roman"/>
          <w:sz w:val="23"/>
          <w:szCs w:val="23"/>
          <w:u w:val="single"/>
        </w:rPr>
        <w:t>Профсоюзом было предложено</w:t>
      </w:r>
      <w:r w:rsidRPr="00916607">
        <w:rPr>
          <w:rFonts w:ascii="Times New Roman" w:eastAsia="Calibri" w:hAnsi="Times New Roman" w:cs="Times New Roman"/>
          <w:sz w:val="23"/>
          <w:szCs w:val="23"/>
        </w:rPr>
        <w:t xml:space="preserve"> включить в проект Концепции развития дошкольного образования, ранее уже </w:t>
      </w:r>
      <w:r w:rsidRPr="00916607">
        <w:rPr>
          <w:rFonts w:ascii="Times New Roman" w:eastAsia="Calibri" w:hAnsi="Times New Roman" w:cs="Times New Roman"/>
          <w:sz w:val="23"/>
          <w:szCs w:val="23"/>
          <w:u w:val="single"/>
        </w:rPr>
        <w:t>неоднократно предлагавшиеся нами</w:t>
      </w:r>
      <w:r w:rsidRPr="00916607">
        <w:rPr>
          <w:rFonts w:ascii="Times New Roman" w:eastAsia="Calibri" w:hAnsi="Times New Roman" w:cs="Times New Roman"/>
          <w:sz w:val="23"/>
          <w:szCs w:val="23"/>
        </w:rPr>
        <w:t xml:space="preserve"> и до настоящего времени не принятые </w:t>
      </w:r>
      <w:r w:rsidRPr="00916607">
        <w:rPr>
          <w:rFonts w:ascii="Times New Roman" w:eastAsia="Calibri" w:hAnsi="Times New Roman" w:cs="Times New Roman"/>
          <w:sz w:val="23"/>
          <w:szCs w:val="23"/>
          <w:u w:val="single"/>
        </w:rPr>
        <w:t>меры</w:t>
      </w:r>
      <w:r w:rsidRPr="00916607">
        <w:rPr>
          <w:rFonts w:ascii="Times New Roman" w:eastAsia="Calibri" w:hAnsi="Times New Roman" w:cs="Times New Roman"/>
          <w:bCs/>
          <w:color w:val="000000"/>
          <w:spacing w:val="-5"/>
          <w:sz w:val="23"/>
          <w:szCs w:val="23"/>
          <w:u w:val="single"/>
        </w:rPr>
        <w:t xml:space="preserve"> </w:t>
      </w:r>
      <w:r w:rsidRPr="00916607">
        <w:rPr>
          <w:rFonts w:ascii="Times New Roman" w:eastAsia="Calibri" w:hAnsi="Times New Roman" w:cs="Times New Roman"/>
          <w:sz w:val="23"/>
          <w:szCs w:val="23"/>
          <w:u w:val="single"/>
        </w:rPr>
        <w:t>по модернизации региональных систем дошкольного образования субъектов Российской Федерации</w:t>
      </w:r>
      <w:r w:rsidRPr="00916607">
        <w:rPr>
          <w:rFonts w:ascii="Times New Roman" w:eastAsia="Calibri" w:hAnsi="Times New Roman" w:cs="Times New Roman"/>
          <w:sz w:val="23"/>
          <w:szCs w:val="23"/>
        </w:rPr>
        <w:t xml:space="preserve">. При этом </w:t>
      </w:r>
      <w:r w:rsidRPr="00916607">
        <w:rPr>
          <w:rFonts w:ascii="Times New Roman" w:eastAsia="Calibri" w:hAnsi="Times New Roman" w:cs="Times New Roman"/>
          <w:sz w:val="23"/>
          <w:szCs w:val="23"/>
          <w:u w:val="single"/>
        </w:rPr>
        <w:t>Профсоюзом было обращено внимание</w:t>
      </w:r>
      <w:r w:rsidRPr="00916607">
        <w:rPr>
          <w:rFonts w:ascii="Times New Roman" w:eastAsia="Calibri" w:hAnsi="Times New Roman" w:cs="Times New Roman"/>
          <w:sz w:val="23"/>
          <w:szCs w:val="23"/>
        </w:rPr>
        <w:t xml:space="preserve"> на то, что дошкольные образовательные </w:t>
      </w:r>
      <w:r w:rsidRPr="00916607">
        <w:rPr>
          <w:rFonts w:ascii="Times New Roman" w:eastAsia="Calibri" w:hAnsi="Times New Roman" w:cs="Times New Roman"/>
          <w:sz w:val="23"/>
          <w:szCs w:val="23"/>
          <w:u w:val="single"/>
        </w:rPr>
        <w:t>организации продолжают испытывать сложности в привлечении к педагогической работе на должности воспитателей квалифицированных кадров, в том числе из числа молодежи</w:t>
      </w:r>
      <w:r w:rsidRPr="00916607">
        <w:rPr>
          <w:rFonts w:ascii="Times New Roman" w:eastAsia="Calibri" w:hAnsi="Times New Roman" w:cs="Times New Roman"/>
          <w:sz w:val="23"/>
          <w:szCs w:val="23"/>
        </w:rPr>
        <w:t xml:space="preserve">. В рабочую группу по разработке проекта Концепции Профсоюзом </w:t>
      </w:r>
      <w:r w:rsidRPr="00916607">
        <w:rPr>
          <w:rFonts w:ascii="Times New Roman" w:eastAsia="Calibri" w:hAnsi="Times New Roman" w:cs="Times New Roman"/>
          <w:sz w:val="23"/>
          <w:szCs w:val="23"/>
          <w:u w:val="single"/>
        </w:rPr>
        <w:t>был представлен сравнительный анализ уровня социальных гарантий, определяющих социальный статус воспитателей в зависимости от типа образовательных организаций</w:t>
      </w:r>
      <w:r w:rsidRPr="00916607">
        <w:rPr>
          <w:rFonts w:ascii="Times New Roman" w:eastAsia="Calibri" w:hAnsi="Times New Roman" w:cs="Times New Roman"/>
          <w:sz w:val="23"/>
          <w:szCs w:val="23"/>
        </w:rPr>
        <w:t>, реализующих образовательные программы, а также контингента воспитанников</w:t>
      </w:r>
      <w:r w:rsidRPr="00916607">
        <w:rPr>
          <w:rFonts w:ascii="Times New Roman" w:eastAsia="Calibri" w:hAnsi="Times New Roman" w:cs="Times New Roman"/>
          <w:sz w:val="23"/>
          <w:szCs w:val="23"/>
          <w:u w:val="single"/>
        </w:rPr>
        <w:t xml:space="preserve">. </w:t>
      </w:r>
      <w:r w:rsidRPr="00916607">
        <w:rPr>
          <w:rFonts w:ascii="Times New Roman" w:eastAsia="Calibri" w:hAnsi="Times New Roman" w:cs="Times New Roman"/>
          <w:bCs/>
          <w:color w:val="000000"/>
          <w:spacing w:val="-5"/>
          <w:sz w:val="23"/>
          <w:szCs w:val="23"/>
          <w:u w:val="single"/>
        </w:rPr>
        <w:t>К примеру, по сравнению с воспитателями групп продленного дня школ и воспитателями школ-интернатов для воспитателей дошкольных образовательных организаций установлена меньшая продолжительность отпуска, но большая норма часов педагогической работы за ставку заработной платы. П</w:t>
      </w:r>
      <w:r w:rsidRPr="00916607">
        <w:rPr>
          <w:rFonts w:ascii="Times New Roman" w:eastAsia="Calibri" w:hAnsi="Times New Roman" w:cs="Times New Roman"/>
          <w:sz w:val="23"/>
          <w:szCs w:val="23"/>
          <w:u w:val="single"/>
        </w:rPr>
        <w:t xml:space="preserve">о сравнению с группами компенсирующей направленности в дошкольных образовательных организациях для </w:t>
      </w:r>
      <w:r w:rsidRPr="00916607">
        <w:rPr>
          <w:rFonts w:ascii="Times New Roman" w:eastAsia="Calibri" w:hAnsi="Times New Roman" w:cs="Times New Roman"/>
          <w:bCs/>
          <w:color w:val="000000"/>
          <w:spacing w:val="-5"/>
          <w:sz w:val="23"/>
          <w:szCs w:val="23"/>
          <w:u w:val="single"/>
        </w:rPr>
        <w:t xml:space="preserve">групп </w:t>
      </w:r>
      <w:r w:rsidRPr="00916607">
        <w:rPr>
          <w:rFonts w:ascii="Times New Roman" w:eastAsia="Calibri" w:hAnsi="Times New Roman" w:cs="Times New Roman"/>
          <w:sz w:val="23"/>
          <w:szCs w:val="23"/>
          <w:u w:val="single"/>
        </w:rPr>
        <w:t xml:space="preserve">общеразвивающей направленности не установлена </w:t>
      </w:r>
      <w:r w:rsidRPr="00916607">
        <w:rPr>
          <w:rFonts w:ascii="Times New Roman" w:eastAsia="Calibri" w:hAnsi="Times New Roman" w:cs="Times New Roman"/>
          <w:bCs/>
          <w:color w:val="000000"/>
          <w:spacing w:val="-5"/>
          <w:sz w:val="23"/>
          <w:szCs w:val="23"/>
          <w:u w:val="single"/>
        </w:rPr>
        <w:t>норма обслуживания, т.е. количество воспитанников, приходящихся на одного воспитателя</w:t>
      </w:r>
      <w:r w:rsidRPr="00916607">
        <w:rPr>
          <w:rFonts w:ascii="Times New Roman" w:eastAsia="Calibri" w:hAnsi="Times New Roman" w:cs="Times New Roman"/>
          <w:bCs/>
          <w:color w:val="000000"/>
          <w:spacing w:val="-5"/>
          <w:sz w:val="23"/>
          <w:szCs w:val="23"/>
        </w:rPr>
        <w:t>.</w:t>
      </w:r>
    </w:p>
    <w:p w14:paraId="4752DF86" w14:textId="77777777" w:rsidR="001D5DC8" w:rsidRPr="00916607" w:rsidRDefault="001D5DC8" w:rsidP="00916607">
      <w:pPr>
        <w:spacing w:after="0" w:line="240" w:lineRule="auto"/>
        <w:ind w:firstLine="709"/>
        <w:jc w:val="both"/>
        <w:rPr>
          <w:rFonts w:ascii="Times New Roman" w:eastAsia="Calibri" w:hAnsi="Times New Roman" w:cs="Times New Roman"/>
          <w:b/>
          <w:sz w:val="23"/>
          <w:szCs w:val="23"/>
        </w:rPr>
      </w:pPr>
      <w:r w:rsidRPr="00916607">
        <w:rPr>
          <w:rFonts w:ascii="Times New Roman" w:eastAsia="Calibri" w:hAnsi="Times New Roman" w:cs="Times New Roman"/>
          <w:bCs/>
          <w:color w:val="000000"/>
          <w:spacing w:val="-5"/>
          <w:sz w:val="23"/>
          <w:szCs w:val="23"/>
        </w:rPr>
        <w:t xml:space="preserve">Профсоюз констатировал, что </w:t>
      </w:r>
      <w:r w:rsidRPr="00916607">
        <w:rPr>
          <w:rFonts w:ascii="Times New Roman" w:eastAsia="Calibri" w:hAnsi="Times New Roman" w:cs="Times New Roman"/>
          <w:b/>
          <w:bCs/>
          <w:color w:val="000000"/>
          <w:spacing w:val="-5"/>
          <w:sz w:val="23"/>
          <w:szCs w:val="23"/>
        </w:rPr>
        <w:t xml:space="preserve">без системных эффективных мер по повышению социального статуса работников дошкольных образовательных организаций невозможно решить задачи повышения доступности и качества дошкольного образования и воспитания детей и предложил включить в проект Концепции предложения по </w:t>
      </w:r>
      <w:r w:rsidRPr="00916607">
        <w:rPr>
          <w:rFonts w:ascii="Times New Roman" w:eastAsia="Calibri" w:hAnsi="Times New Roman" w:cs="Times New Roman"/>
          <w:b/>
          <w:sz w:val="23"/>
          <w:szCs w:val="23"/>
        </w:rPr>
        <w:t xml:space="preserve">осуществлению следующих мер: </w:t>
      </w:r>
    </w:p>
    <w:p w14:paraId="5155F7D0"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снизить</w:t>
      </w:r>
      <w:r w:rsidRPr="00916607">
        <w:rPr>
          <w:rFonts w:ascii="Times New Roman" w:eastAsia="Calibri" w:hAnsi="Times New Roman" w:cs="Times New Roman"/>
          <w:sz w:val="23"/>
          <w:szCs w:val="23"/>
        </w:rPr>
        <w:t xml:space="preserve"> для воспитателей групп дошкольных образовательных учреждений, дошкольных групп </w:t>
      </w:r>
      <w:r w:rsidRPr="00916607">
        <w:rPr>
          <w:rFonts w:ascii="Times New Roman" w:eastAsia="Calibri" w:hAnsi="Times New Roman" w:cs="Times New Roman"/>
          <w:sz w:val="23"/>
          <w:szCs w:val="23"/>
        </w:rPr>
        <w:lastRenderedPageBreak/>
        <w:t xml:space="preserve">общеобразовательных учреждений и учреждений для детей дошкольного и младшего школьного возраста </w:t>
      </w:r>
      <w:r w:rsidRPr="00916607">
        <w:rPr>
          <w:rFonts w:ascii="Times New Roman" w:eastAsia="Calibri" w:hAnsi="Times New Roman" w:cs="Times New Roman"/>
          <w:sz w:val="23"/>
          <w:szCs w:val="23"/>
          <w:u w:val="single"/>
        </w:rPr>
        <w:t>норму часов педагогической работы за ставку с 36 до 30 часов</w:t>
      </w:r>
      <w:r w:rsidRPr="00916607">
        <w:rPr>
          <w:rFonts w:ascii="Times New Roman" w:eastAsia="Calibri" w:hAnsi="Times New Roman" w:cs="Times New Roman"/>
          <w:sz w:val="23"/>
          <w:szCs w:val="23"/>
        </w:rPr>
        <w:t>, как это установлено для воспитателей групп продленного дня общеобразовательных учреждений, школ-интернатов и детских домов;</w:t>
      </w:r>
    </w:p>
    <w:p w14:paraId="6A10C21F"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u w:val="single"/>
        </w:rPr>
      </w:pP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приравнять</w:t>
      </w:r>
      <w:r w:rsidRPr="00916607">
        <w:rPr>
          <w:rFonts w:ascii="Times New Roman" w:eastAsia="Calibri" w:hAnsi="Times New Roman" w:cs="Times New Roman"/>
          <w:sz w:val="23"/>
          <w:szCs w:val="23"/>
        </w:rPr>
        <w:t xml:space="preserve"> воспитателей дошкольных образовательных учреждений, дошкольных групп общеобразовательных учреждений и учреждений для детей дошкольного и младшего школьного возраста </w:t>
      </w:r>
      <w:r w:rsidRPr="00916607">
        <w:rPr>
          <w:rFonts w:ascii="Times New Roman" w:eastAsia="Calibri" w:hAnsi="Times New Roman" w:cs="Times New Roman"/>
          <w:sz w:val="23"/>
          <w:szCs w:val="23"/>
          <w:u w:val="single"/>
        </w:rPr>
        <w:t>по продолжительности ежегодного оплачиваемого отпуска к воспитателям групп продленного дня общеобразовательных учреждений, школ-интернатов и детских домов, установив им отпуск продолжительностью 56 календарных дней;</w:t>
      </w:r>
    </w:p>
    <w:p w14:paraId="1FF41E1E"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восстановить предельную наполняемость групп</w:t>
      </w:r>
      <w:r w:rsidRPr="00916607">
        <w:rPr>
          <w:rFonts w:ascii="Times New Roman" w:eastAsia="Calibri" w:hAnsi="Times New Roman" w:cs="Times New Roman"/>
          <w:sz w:val="23"/>
          <w:szCs w:val="23"/>
        </w:rPr>
        <w:t xml:space="preserve"> дошкольных учреждений, в которых реализуется образовательная программа общеразвивающей направленности (</w:t>
      </w:r>
      <w:r w:rsidRPr="00916607">
        <w:rPr>
          <w:rFonts w:ascii="Times New Roman" w:eastAsia="Calibri" w:hAnsi="Times New Roman" w:cs="Times New Roman"/>
          <w:sz w:val="23"/>
          <w:szCs w:val="23"/>
          <w:u w:val="single"/>
        </w:rPr>
        <w:t>15 воспитанников до 3 лет и 20 воспитанников от 3 и более лет</w:t>
      </w:r>
      <w:r w:rsidRPr="00916607">
        <w:rPr>
          <w:rFonts w:ascii="Times New Roman" w:eastAsia="Calibri" w:hAnsi="Times New Roman" w:cs="Times New Roman"/>
          <w:sz w:val="23"/>
          <w:szCs w:val="23"/>
        </w:rPr>
        <w:t xml:space="preserve">), являвшуюся для воспитателей нормой обслуживания, </w:t>
      </w:r>
      <w:r w:rsidRPr="00916607">
        <w:rPr>
          <w:rFonts w:ascii="Times New Roman" w:eastAsia="Calibri" w:hAnsi="Times New Roman" w:cs="Times New Roman"/>
          <w:sz w:val="23"/>
          <w:szCs w:val="23"/>
          <w:u w:val="single"/>
        </w:rPr>
        <w:t>позволявшей им ранее претендовать на доплаты за увеличение объема работы</w:t>
      </w:r>
      <w:r w:rsidRPr="00916607">
        <w:rPr>
          <w:rFonts w:ascii="Times New Roman" w:eastAsia="Calibri" w:hAnsi="Times New Roman" w:cs="Times New Roman"/>
          <w:sz w:val="23"/>
          <w:szCs w:val="23"/>
        </w:rPr>
        <w:t xml:space="preserve"> (т.е. за увеличение количества детей) в соответствии со статьей 60.2 Трудового Кодекса РФ, если по каким-либо причинам количество детей в группе превышало норму.</w:t>
      </w:r>
    </w:p>
    <w:p w14:paraId="73342C3A"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b/>
          <w:sz w:val="23"/>
          <w:szCs w:val="23"/>
        </w:rPr>
        <w:t xml:space="preserve">Участвуя в рассмотрении вопроса об определении статуса помощника воспитателя либо младшего воспитателя государственного (муниципального) учреждения, реализующего образовательную программу дошкольного образования, </w:t>
      </w:r>
      <w:r w:rsidRPr="00916607">
        <w:rPr>
          <w:rFonts w:ascii="Times New Roman" w:eastAsia="Calibri" w:hAnsi="Times New Roman" w:cs="Times New Roman"/>
          <w:b/>
          <w:sz w:val="23"/>
          <w:szCs w:val="23"/>
          <w:u w:val="single"/>
        </w:rPr>
        <w:t>Профсоюз поддержал предложение</w:t>
      </w:r>
      <w:r w:rsidRPr="00916607">
        <w:rPr>
          <w:rFonts w:ascii="Times New Roman" w:eastAsia="Calibri" w:hAnsi="Times New Roman" w:cs="Times New Roman"/>
          <w:sz w:val="23"/>
          <w:szCs w:val="23"/>
          <w:u w:val="single"/>
        </w:rPr>
        <w:t xml:space="preserve"> о переводе должности «младший воспитатель»</w:t>
      </w: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из</w:t>
      </w:r>
      <w:r w:rsidRPr="00916607">
        <w:rPr>
          <w:rFonts w:ascii="Times New Roman" w:eastAsia="Calibri" w:hAnsi="Times New Roman" w:cs="Times New Roman"/>
          <w:sz w:val="23"/>
          <w:szCs w:val="23"/>
        </w:rPr>
        <w:t xml:space="preserve"> профессиональной квалификационной группы должностей работников </w:t>
      </w:r>
      <w:r w:rsidRPr="00916607">
        <w:rPr>
          <w:rFonts w:ascii="Times New Roman" w:eastAsia="Calibri" w:hAnsi="Times New Roman" w:cs="Times New Roman"/>
          <w:sz w:val="23"/>
          <w:szCs w:val="23"/>
          <w:u w:val="single"/>
        </w:rPr>
        <w:t>учебно-вспомогательного персонала в группу</w:t>
      </w: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должностей педагогических работников</w:t>
      </w: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поскольку</w:t>
      </w:r>
      <w:r w:rsidRPr="00916607">
        <w:rPr>
          <w:rFonts w:ascii="Times New Roman" w:eastAsia="Calibri" w:hAnsi="Times New Roman" w:cs="Times New Roman"/>
          <w:sz w:val="23"/>
          <w:szCs w:val="23"/>
        </w:rPr>
        <w:t xml:space="preserve"> включение такого предложения в проект Концепции развития дошкольного образования </w:t>
      </w:r>
      <w:r w:rsidRPr="00916607">
        <w:rPr>
          <w:rFonts w:ascii="Times New Roman" w:eastAsia="Calibri" w:hAnsi="Times New Roman" w:cs="Times New Roman"/>
          <w:sz w:val="23"/>
          <w:szCs w:val="23"/>
          <w:u w:val="single"/>
        </w:rPr>
        <w:t>будет способствовать</w:t>
      </w:r>
      <w:r w:rsidRPr="00916607">
        <w:rPr>
          <w:rFonts w:ascii="Times New Roman" w:eastAsia="Calibri" w:hAnsi="Times New Roman" w:cs="Times New Roman"/>
          <w:sz w:val="23"/>
          <w:szCs w:val="23"/>
        </w:rPr>
        <w:t xml:space="preserve"> созданию условий </w:t>
      </w:r>
      <w:r w:rsidRPr="00916607">
        <w:rPr>
          <w:rFonts w:ascii="Times New Roman" w:eastAsia="Calibri" w:hAnsi="Times New Roman" w:cs="Times New Roman"/>
          <w:sz w:val="23"/>
          <w:szCs w:val="23"/>
          <w:u w:val="single"/>
        </w:rPr>
        <w:t>для усиления мотивации работников</w:t>
      </w:r>
      <w:r w:rsidRPr="00916607">
        <w:rPr>
          <w:rFonts w:ascii="Times New Roman" w:eastAsia="Calibri" w:hAnsi="Times New Roman" w:cs="Times New Roman"/>
          <w:sz w:val="23"/>
          <w:szCs w:val="23"/>
        </w:rPr>
        <w:t xml:space="preserve">, занимающих должность младшего воспитателя, </w:t>
      </w:r>
      <w:r w:rsidRPr="00916607">
        <w:rPr>
          <w:rFonts w:ascii="Times New Roman" w:eastAsia="Calibri" w:hAnsi="Times New Roman" w:cs="Times New Roman"/>
          <w:sz w:val="23"/>
          <w:szCs w:val="23"/>
          <w:u w:val="single"/>
        </w:rPr>
        <w:t>к обучению по программам профессионального</w:t>
      </w:r>
      <w:r w:rsidRPr="00916607">
        <w:rPr>
          <w:rFonts w:ascii="Times New Roman" w:eastAsia="Calibri" w:hAnsi="Times New Roman" w:cs="Times New Roman"/>
          <w:sz w:val="23"/>
          <w:szCs w:val="23"/>
        </w:rPr>
        <w:t xml:space="preserve">, </w:t>
      </w:r>
      <w:r w:rsidRPr="00916607">
        <w:rPr>
          <w:rFonts w:ascii="Times New Roman" w:eastAsia="Calibri" w:hAnsi="Times New Roman" w:cs="Times New Roman"/>
          <w:sz w:val="23"/>
          <w:szCs w:val="23"/>
          <w:u w:val="single"/>
        </w:rPr>
        <w:t>в том числе высшего педагогического образования, закреплению квалифицированных кадров и повышению эффективности их работы</w:t>
      </w:r>
      <w:r w:rsidRPr="00916607">
        <w:rPr>
          <w:rFonts w:ascii="Times New Roman" w:eastAsia="Calibri" w:hAnsi="Times New Roman" w:cs="Times New Roman"/>
          <w:sz w:val="23"/>
          <w:szCs w:val="23"/>
        </w:rPr>
        <w:t xml:space="preserve"> в целях реализации поставленных задач.</w:t>
      </w:r>
    </w:p>
    <w:p w14:paraId="3391AA47"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u w:val="single"/>
        </w:rPr>
      </w:pPr>
      <w:r w:rsidRPr="00916607">
        <w:rPr>
          <w:rFonts w:ascii="Times New Roman" w:eastAsia="Calibri" w:hAnsi="Times New Roman" w:cs="Times New Roman"/>
          <w:sz w:val="23"/>
          <w:szCs w:val="23"/>
          <w:u w:val="single"/>
        </w:rPr>
        <w:lastRenderedPageBreak/>
        <w:t xml:space="preserve">Кроме того, включение младших воспитателей в группу должностей педагогических работников означает приобретение младшими воспитателями, прежде всего, трудовых прав и социальных гарантий педагогического работника-воспитателя. </w:t>
      </w:r>
    </w:p>
    <w:p w14:paraId="763E2D59"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Для реализации этого Профсоюзом было предложено включить в Концепцию:</w:t>
      </w:r>
    </w:p>
    <w:p w14:paraId="4A5E9B14" w14:textId="77777777" w:rsidR="001D5DC8" w:rsidRPr="00916607" w:rsidRDefault="001D5DC8" w:rsidP="00916607">
      <w:pPr>
        <w:autoSpaceDE w:val="0"/>
        <w:autoSpaceDN w:val="0"/>
        <w:adjustRightInd w:val="0"/>
        <w:spacing w:after="0" w:line="240" w:lineRule="auto"/>
        <w:ind w:firstLine="708"/>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внесение изменений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профессиональные квалификационные группы и квалификационные уровни должностей работников образования и Н</w:t>
      </w:r>
      <w:r w:rsidRPr="00916607">
        <w:rPr>
          <w:rFonts w:ascii="Times New Roman" w:eastAsia="Calibri" w:hAnsi="Times New Roman" w:cs="Times New Roman"/>
          <w:sz w:val="23"/>
          <w:szCs w:val="23"/>
          <w:lang w:eastAsia="ru-RU"/>
        </w:rPr>
        <w:t xml:space="preserve">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 постановлением Правительства РФ от 21.02.2022 № 225) с одновременным </w:t>
      </w:r>
      <w:r w:rsidRPr="00916607">
        <w:rPr>
          <w:rFonts w:ascii="Times New Roman" w:eastAsia="Calibri" w:hAnsi="Times New Roman" w:cs="Times New Roman"/>
          <w:sz w:val="23"/>
          <w:szCs w:val="23"/>
        </w:rPr>
        <w:t xml:space="preserve">проведением соответствующих расчетов финансово-экономического обеспечения реализации мер по распространению на младших воспитателей трудовых прав и социальных гарантий, которыми пользуются воспитатели; </w:t>
      </w:r>
    </w:p>
    <w:p w14:paraId="2A702FE6"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принятие решения о распространении на младших воспитателей социальных гарантий, которыми пользуются воспитатели (в том числе в дошкольных группах для детей с ОВЗ), в том числе о предоставлении им отпуска соответствующей продолжительности – 42 календарных дня (в дошкольных группах с ОВЗ – 56 календарных дней).</w:t>
      </w:r>
    </w:p>
    <w:p w14:paraId="2CEA5808"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Рабочая группа также была проинформирована Профсоюзом о том, что вопрос перевода младших воспитателей в категорию педагогических работников будет сопровождаться неоправданными ожиданиями на получение ими права на досрочную страховую пенсию, поскольку Список педагогических работников, который дает право на получение такой пенсии изменению (расширению), к сожалению, не подлежит. </w:t>
      </w:r>
    </w:p>
    <w:p w14:paraId="353FFDB4"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b/>
          <w:sz w:val="23"/>
          <w:szCs w:val="23"/>
        </w:rPr>
        <w:t>Профсоюзом было вынесено на обсуждение рабочей группы</w:t>
      </w:r>
      <w:r w:rsidRPr="00916607">
        <w:rPr>
          <w:rFonts w:ascii="Times New Roman" w:eastAsia="Calibri" w:hAnsi="Times New Roman" w:cs="Times New Roman"/>
          <w:sz w:val="23"/>
          <w:szCs w:val="23"/>
        </w:rPr>
        <w:t xml:space="preserve"> по разработке проекта Концепции развития дошкольного образования </w:t>
      </w:r>
      <w:r w:rsidRPr="00916607">
        <w:rPr>
          <w:rFonts w:ascii="Times New Roman" w:eastAsia="Calibri" w:hAnsi="Times New Roman" w:cs="Times New Roman"/>
          <w:b/>
          <w:sz w:val="23"/>
          <w:szCs w:val="23"/>
        </w:rPr>
        <w:t>предложение</w:t>
      </w:r>
      <w:r w:rsidRPr="00916607">
        <w:rPr>
          <w:rFonts w:ascii="Times New Roman" w:eastAsia="Calibri" w:hAnsi="Times New Roman" w:cs="Times New Roman"/>
          <w:sz w:val="23"/>
          <w:szCs w:val="23"/>
        </w:rPr>
        <w:t xml:space="preserve"> по включению в проект Концепции в качестве приоритетной задачи государственной политики вопроса </w:t>
      </w:r>
      <w:r w:rsidRPr="00916607">
        <w:rPr>
          <w:rFonts w:ascii="Times New Roman" w:eastAsia="Calibri" w:hAnsi="Times New Roman" w:cs="Times New Roman"/>
          <w:b/>
          <w:sz w:val="23"/>
          <w:szCs w:val="23"/>
        </w:rPr>
        <w:t>об обязательном обеспечении</w:t>
      </w:r>
      <w:r w:rsidRPr="00916607">
        <w:rPr>
          <w:rFonts w:ascii="Times New Roman" w:eastAsia="Calibri" w:hAnsi="Times New Roman" w:cs="Times New Roman"/>
          <w:sz w:val="23"/>
          <w:szCs w:val="23"/>
        </w:rPr>
        <w:t xml:space="preserve"> (в том числе при обеспечении государственного контроля за реализацией этой меры) </w:t>
      </w:r>
      <w:r w:rsidRPr="00916607">
        <w:rPr>
          <w:rFonts w:ascii="Times New Roman" w:eastAsia="Calibri" w:hAnsi="Times New Roman" w:cs="Times New Roman"/>
          <w:b/>
          <w:sz w:val="23"/>
          <w:szCs w:val="23"/>
        </w:rPr>
        <w:t xml:space="preserve">двух </w:t>
      </w:r>
      <w:r w:rsidRPr="00916607">
        <w:rPr>
          <w:rFonts w:ascii="Times New Roman" w:eastAsia="Calibri" w:hAnsi="Times New Roman" w:cs="Times New Roman"/>
          <w:b/>
          <w:sz w:val="23"/>
          <w:szCs w:val="23"/>
        </w:rPr>
        <w:lastRenderedPageBreak/>
        <w:t>воспитателей в дошкольной группе воспитанников для реализации дошкольной общеобразовательной программы.</w:t>
      </w:r>
      <w:r w:rsidRPr="00916607">
        <w:rPr>
          <w:rFonts w:ascii="Times New Roman" w:eastAsia="Calibri" w:hAnsi="Times New Roman" w:cs="Times New Roman"/>
          <w:sz w:val="23"/>
          <w:szCs w:val="23"/>
        </w:rPr>
        <w:t xml:space="preserve"> </w:t>
      </w:r>
    </w:p>
    <w:p w14:paraId="72F4B136" w14:textId="77777777" w:rsidR="001D5DC8" w:rsidRPr="00916607" w:rsidRDefault="001D5DC8" w:rsidP="00916607">
      <w:pPr>
        <w:spacing w:after="0" w:line="240" w:lineRule="auto"/>
        <w:ind w:firstLine="709"/>
        <w:jc w:val="both"/>
        <w:rPr>
          <w:rFonts w:ascii="Times New Roman" w:eastAsia="Calibri" w:hAnsi="Times New Roman" w:cs="Times New Roman"/>
          <w:b/>
          <w:sz w:val="23"/>
          <w:szCs w:val="23"/>
        </w:rPr>
      </w:pPr>
      <w:r w:rsidRPr="00916607">
        <w:rPr>
          <w:rFonts w:ascii="Times New Roman" w:eastAsia="Calibri" w:hAnsi="Times New Roman" w:cs="Times New Roman"/>
          <w:b/>
          <w:sz w:val="23"/>
          <w:szCs w:val="23"/>
        </w:rPr>
        <w:t>Профсоюзом предложен к обсуждению рабочей группе вопрос об обеспечении условий методического сопровождения деятельности педагогических работников дошкольных образовательных организаций.</w:t>
      </w:r>
    </w:p>
    <w:p w14:paraId="303F681E"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Профсоюз констатировал, что несмотря на признание дошкольного образования первой ступенью общего образования вопросы кадрового обеспечения деятельности дошкольных образовательных организаций (образовательных организаций, реализующих образовательные программы дошкольного образования) не были включены в федеральный проект «Современная школа», в то время как индикатором факторов достижения национальных целей развития на федеральном уровне по показателю «Вхождение Российской Федерации в число десяти ведущих стран мира по качеству общего образования» является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0B8A1859"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Это обстоятельство обусловливает необходимость организации более серьезного методического сопровождения педагогического работника дошкольной образовательной организации непосредственно на рабочем месте в качестве дополнительного ресурса повышения эффективности его педагогической деятельности, а, в конечном итоге, достижения требуемого качества дошкольного образования.</w:t>
      </w:r>
    </w:p>
    <w:p w14:paraId="4BD4D2D1"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Как показывает практика, методическое сопровождение педагогических работников дошкольной образовательной организации непосредственно на рабочем месте представляет собой выполнение различных видов методической работы лицами, замещающими должности «старший воспитатель» и «заведующий», в том числе в рамках деятельности педагогических советов. </w:t>
      </w:r>
    </w:p>
    <w:p w14:paraId="3EA87684"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Из-за отсутствия практики организации деятельности методических объединений непосредственно в дошкольной образовательной организации, по аналогии с предметными методическими объединениями учителей в общеобразовательных организациях, одним из нерешенных остается вопрос методического сопровождения деятельности педагогических работников, их профессионального развития непосредственно на рабочем месте. Сроки реализации педагогами поставленных актуальных педагогических задач напрямую зависят от решения этой задачи. </w:t>
      </w:r>
    </w:p>
    <w:p w14:paraId="5FD77095" w14:textId="77777777" w:rsidR="001D5DC8" w:rsidRPr="00916607" w:rsidRDefault="001D5DC8" w:rsidP="00916607">
      <w:pPr>
        <w:spacing w:after="0" w:line="240" w:lineRule="auto"/>
        <w:ind w:firstLine="851"/>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Мероприятия по формированию единой федеральной системы научно-методического сопровождения педагогических работников и управленческих кадров, предусмотренные распоряжением Правительства РФ от 31 декабря 2019 г. № 3273-р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 а также создание органами исполнительной власти субъектов Российской Федерации, осуществляющими государственное управление в сфере образования, в рамках поставленной единой задачи региональной системы научно-методического сопровождения педагогических работников и управленческих кадров общеобразовательных организаций, пока не включают дошкольные образовательные организации.</w:t>
      </w:r>
    </w:p>
    <w:p w14:paraId="6706DAAB"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Созданные и функционирующие консультационные центры (службы) психолого-педагогической, диагностической и консультативной помощи родителям с детьми дошкольного возраста на базе дошкольных образовательных организаций также не включены в систему постоянного научно-методического сопровождения педагогических работников.</w:t>
      </w:r>
    </w:p>
    <w:p w14:paraId="0CFFCA76"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Важнейшим фактором обеспечения методического сопровождения деятельности педагогического работника является создание необходимых условий для осуществления его непосредственно на рабочем месте – в дошкольной образовательной организации посредством: </w:t>
      </w:r>
    </w:p>
    <w:p w14:paraId="4C06B967"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реализации различных видов методической деятельности, направленных на удовлетворение и развитие профессиональных потребностей своих педагогических работников;</w:t>
      </w:r>
    </w:p>
    <w:p w14:paraId="39038886"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организации деятельности методического кабинета (надлежащего размещения методического кабинета в зданиях дошкольных образовательных организаций (возрождение методического кабинета);</w:t>
      </w:r>
    </w:p>
    <w:p w14:paraId="579949EE"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привлечения к осуществлению методической деятельности работников, имеющих соответствующую квалификацию (в мероприятия по реализации Концепции следует включить: внесение законодательного изменения, предусматривающего возможность бесплатного второго высшего образования для лиц, пришедших работать в сферу дошкольного образования из других сфер). </w:t>
      </w:r>
    </w:p>
    <w:p w14:paraId="2EB613B7" w14:textId="77777777" w:rsidR="001D5DC8" w:rsidRPr="00916607" w:rsidRDefault="001D5DC8" w:rsidP="00916607">
      <w:pPr>
        <w:spacing w:after="0" w:line="240" w:lineRule="auto"/>
        <w:ind w:firstLine="709"/>
        <w:jc w:val="both"/>
        <w:rPr>
          <w:rFonts w:ascii="Times New Roman" w:eastAsia="Calibri" w:hAnsi="Times New Roman" w:cs="Times New Roman"/>
          <w:b/>
          <w:sz w:val="23"/>
          <w:szCs w:val="23"/>
        </w:rPr>
      </w:pPr>
      <w:r w:rsidRPr="00916607">
        <w:rPr>
          <w:rFonts w:ascii="Times New Roman" w:eastAsia="Calibri" w:hAnsi="Times New Roman" w:cs="Times New Roman"/>
          <w:b/>
          <w:sz w:val="23"/>
          <w:szCs w:val="23"/>
        </w:rPr>
        <w:t>В рамках реализации Концепции Профсоюзом предложено выполнение комплекса мероприятий по следующим направлениям:</w:t>
      </w:r>
    </w:p>
    <w:p w14:paraId="1A1F2EAC"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создание и организация деятельности по методическому сопровождению педагогических работников в дошкольных образовательных организациях, включая ее правовое, кадровое и финансовое обеспечение;</w:t>
      </w:r>
    </w:p>
    <w:p w14:paraId="394E3222"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оснащение зданий дошкольных образовательных организаций методическими кабинетами, включая укрепление их материально-технической базы и оснащение стандартизированным набором технических средств;</w:t>
      </w:r>
    </w:p>
    <w:p w14:paraId="07E61E4B"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разработка моделей организации методического сопровождения деятельности педагогических работников в дошкольных образовательных организациях;</w:t>
      </w:r>
    </w:p>
    <w:p w14:paraId="2224D1DB"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модернизация (обновление) содержания деятельности, осуществляемой старшими воспитателями дошкольных образовательных организаций.</w:t>
      </w:r>
    </w:p>
    <w:p w14:paraId="79937148"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принятие дополнительных мер по привлечению специалистов для осуществления методической деятельности в дошкольных образовательных организациях.</w:t>
      </w:r>
    </w:p>
    <w:p w14:paraId="286DD63D"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Кроме того, </w:t>
      </w:r>
      <w:r w:rsidRPr="00916607">
        <w:rPr>
          <w:rFonts w:ascii="Times New Roman" w:eastAsia="Calibri" w:hAnsi="Times New Roman" w:cs="Times New Roman"/>
          <w:b/>
          <w:sz w:val="23"/>
          <w:szCs w:val="23"/>
        </w:rPr>
        <w:t>Профсоюзом представлены</w:t>
      </w:r>
      <w:r w:rsidRPr="00916607">
        <w:rPr>
          <w:rFonts w:ascii="Times New Roman" w:eastAsia="Calibri" w:hAnsi="Times New Roman" w:cs="Times New Roman"/>
          <w:sz w:val="23"/>
          <w:szCs w:val="23"/>
        </w:rPr>
        <w:t xml:space="preserve"> в рабочую группу по разработке проекта Концепции</w:t>
      </w:r>
      <w:r w:rsidRPr="00916607">
        <w:rPr>
          <w:rFonts w:ascii="Times New Roman" w:eastAsia="Calibri" w:hAnsi="Times New Roman" w:cs="Times New Roman"/>
          <w:b/>
          <w:sz w:val="23"/>
          <w:szCs w:val="23"/>
        </w:rPr>
        <w:t xml:space="preserve"> предложения, подготовленные экспертами Профсоюза, о необходимости изучения и применения складывающейся в регионах практики реализации актуальной задачи обеспечения доступности дошкольного образования, услуг по присмотру и уходу за детьми</w:t>
      </w:r>
      <w:r w:rsidRPr="00916607">
        <w:rPr>
          <w:rFonts w:ascii="Times New Roman" w:eastAsia="Calibri" w:hAnsi="Times New Roman" w:cs="Times New Roman"/>
          <w:sz w:val="23"/>
          <w:szCs w:val="23"/>
        </w:rPr>
        <w:t xml:space="preserve"> (в приоритетном порядке за детьми от 1,5 до трех лет), основанной на принципах диверсификации механизмов ее реализации, усиления индивидуализации оказания услуг в зависимости от потребностей потребителей, нормативного выделения бюджетных средств на увеличение дополнительных мест для детей в дошкольных образовательных организациях и организациях по присмотру и уходу за детьми. </w:t>
      </w:r>
    </w:p>
    <w:p w14:paraId="18C09809" w14:textId="77777777" w:rsidR="001D5DC8" w:rsidRPr="00916607" w:rsidRDefault="001D5DC8" w:rsidP="00916607">
      <w:pPr>
        <w:spacing w:after="0" w:line="240" w:lineRule="auto"/>
        <w:ind w:firstLine="709"/>
        <w:jc w:val="both"/>
        <w:rPr>
          <w:rFonts w:ascii="Times New Roman" w:eastAsia="Calibri" w:hAnsi="Times New Roman" w:cs="Times New Roman"/>
          <w:sz w:val="23"/>
          <w:szCs w:val="23"/>
        </w:rPr>
      </w:pPr>
      <w:r w:rsidRPr="00916607">
        <w:rPr>
          <w:rFonts w:ascii="Times New Roman" w:eastAsia="Calibri" w:hAnsi="Times New Roman" w:cs="Times New Roman"/>
          <w:sz w:val="23"/>
          <w:szCs w:val="23"/>
        </w:rPr>
        <w:t xml:space="preserve">В предложениях Профсоюза содержится описание отдельных примеров из практики регионов по расширению использования организаций негосударственного сектора и частного предпринимательства для обеспечения доступности дошкольного образования, услуг по присмотру и уходу за детьми с применением сертификатов, предоставляемых непосредственно таким организациям, либо семьям, особенно из социально незащищенных слоев, за счет бюджетных средств, направляемых из региональных бюджетов муниципальным в форме субсидий, в целях компенсации разницы в стоимости пребывания детей в таких организациях по сравнению с государственными и муниципальными организациями, а также в целях преодоления получившей широкое распространение негативной практики деятельности организаций разных организационно-правовых форм (ООО, ЧП, ИП, АНО), оказывающих не только услуги по присмотру и уходу, но и образовательные услуги без получения лицензии на эту деятельность. </w:t>
      </w:r>
    </w:p>
    <w:p w14:paraId="0B0DB98C" w14:textId="77777777" w:rsidR="001D5DC8" w:rsidRPr="00916607" w:rsidRDefault="001D5DC8" w:rsidP="00BC534D">
      <w:pPr>
        <w:spacing w:after="0" w:line="264" w:lineRule="auto"/>
        <w:rPr>
          <w:sz w:val="23"/>
          <w:szCs w:val="23"/>
        </w:rPr>
      </w:pPr>
    </w:p>
    <w:sectPr w:rsidR="001D5DC8" w:rsidRPr="00916607" w:rsidSect="001D5DC8">
      <w:footerReference w:type="default" r:id="rId7"/>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4AC6" w14:textId="77777777" w:rsidR="00BD5CBD" w:rsidRDefault="00BD5CBD" w:rsidP="001D5DC8">
      <w:pPr>
        <w:spacing w:after="0" w:line="240" w:lineRule="auto"/>
      </w:pPr>
      <w:r>
        <w:separator/>
      </w:r>
    </w:p>
  </w:endnote>
  <w:endnote w:type="continuationSeparator" w:id="0">
    <w:p w14:paraId="0291E674" w14:textId="77777777" w:rsidR="00BD5CBD" w:rsidRDefault="00BD5CBD" w:rsidP="001D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18323"/>
      <w:docPartObj>
        <w:docPartGallery w:val="Page Numbers (Bottom of Page)"/>
        <w:docPartUnique/>
      </w:docPartObj>
    </w:sdtPr>
    <w:sdtEndPr>
      <w:rPr>
        <w:rFonts w:ascii="Times New Roman" w:hAnsi="Times New Roman" w:cs="Times New Roman"/>
        <w:sz w:val="18"/>
        <w:szCs w:val="18"/>
      </w:rPr>
    </w:sdtEndPr>
    <w:sdtContent>
      <w:p w14:paraId="3F371682" w14:textId="754EDEC8" w:rsidR="001D5DC8" w:rsidRPr="001D5DC8" w:rsidRDefault="001D5DC8" w:rsidP="001D5DC8">
        <w:pPr>
          <w:pStyle w:val="a5"/>
          <w:jc w:val="center"/>
          <w:rPr>
            <w:rFonts w:ascii="Times New Roman" w:hAnsi="Times New Roman" w:cs="Times New Roman"/>
            <w:sz w:val="18"/>
            <w:szCs w:val="18"/>
          </w:rPr>
        </w:pPr>
        <w:r w:rsidRPr="001D5DC8">
          <w:rPr>
            <w:rFonts w:ascii="Times New Roman" w:hAnsi="Times New Roman" w:cs="Times New Roman"/>
            <w:sz w:val="18"/>
            <w:szCs w:val="18"/>
          </w:rPr>
          <w:fldChar w:fldCharType="begin"/>
        </w:r>
        <w:r w:rsidRPr="001D5DC8">
          <w:rPr>
            <w:rFonts w:ascii="Times New Roman" w:hAnsi="Times New Roman" w:cs="Times New Roman"/>
            <w:sz w:val="18"/>
            <w:szCs w:val="18"/>
          </w:rPr>
          <w:instrText>PAGE   \* MERGEFORMAT</w:instrText>
        </w:r>
        <w:r w:rsidRPr="001D5DC8">
          <w:rPr>
            <w:rFonts w:ascii="Times New Roman" w:hAnsi="Times New Roman" w:cs="Times New Roman"/>
            <w:sz w:val="18"/>
            <w:szCs w:val="18"/>
          </w:rPr>
          <w:fldChar w:fldCharType="separate"/>
        </w:r>
        <w:r w:rsidR="00145027">
          <w:rPr>
            <w:rFonts w:ascii="Times New Roman" w:hAnsi="Times New Roman" w:cs="Times New Roman"/>
            <w:noProof/>
            <w:sz w:val="18"/>
            <w:szCs w:val="18"/>
          </w:rPr>
          <w:t>4</w:t>
        </w:r>
        <w:r w:rsidRPr="001D5DC8">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8A6AC" w14:textId="77777777" w:rsidR="00BD5CBD" w:rsidRDefault="00BD5CBD" w:rsidP="001D5DC8">
      <w:pPr>
        <w:spacing w:after="0" w:line="240" w:lineRule="auto"/>
      </w:pPr>
      <w:r>
        <w:separator/>
      </w:r>
    </w:p>
  </w:footnote>
  <w:footnote w:type="continuationSeparator" w:id="0">
    <w:p w14:paraId="23FCB6FB" w14:textId="77777777" w:rsidR="00BD5CBD" w:rsidRDefault="00BD5CBD" w:rsidP="001D5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C8"/>
    <w:rsid w:val="0002014F"/>
    <w:rsid w:val="00053A55"/>
    <w:rsid w:val="00086469"/>
    <w:rsid w:val="00094988"/>
    <w:rsid w:val="00145027"/>
    <w:rsid w:val="001D5DC8"/>
    <w:rsid w:val="002D3A76"/>
    <w:rsid w:val="003A288F"/>
    <w:rsid w:val="00631A78"/>
    <w:rsid w:val="00844D39"/>
    <w:rsid w:val="008D356E"/>
    <w:rsid w:val="00916607"/>
    <w:rsid w:val="00A6732F"/>
    <w:rsid w:val="00BC534D"/>
    <w:rsid w:val="00BD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D91A"/>
  <w15:chartTrackingRefBased/>
  <w15:docId w15:val="{93281ADC-FDF3-418B-A274-EEDF5151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DC8"/>
    <w:pPr>
      <w:spacing w:after="200" w:line="276" w:lineRule="auto"/>
    </w:pPr>
  </w:style>
  <w:style w:type="paragraph" w:styleId="1">
    <w:name w:val="heading 1"/>
    <w:basedOn w:val="a"/>
    <w:next w:val="a"/>
    <w:link w:val="10"/>
    <w:uiPriority w:val="99"/>
    <w:qFormat/>
    <w:rsid w:val="001D5DC8"/>
    <w:pPr>
      <w:keepNext/>
      <w:keepLines/>
      <w:spacing w:before="480" w:after="0" w:line="25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5DC8"/>
    <w:rPr>
      <w:rFonts w:asciiTheme="majorHAnsi" w:eastAsiaTheme="majorEastAsia" w:hAnsiTheme="majorHAnsi" w:cstheme="majorBidi"/>
      <w:b/>
      <w:bCs/>
      <w:color w:val="2F5496" w:themeColor="accent1" w:themeShade="BF"/>
      <w:sz w:val="28"/>
      <w:szCs w:val="28"/>
    </w:rPr>
  </w:style>
  <w:style w:type="paragraph" w:styleId="a3">
    <w:name w:val="header"/>
    <w:basedOn w:val="a"/>
    <w:link w:val="a4"/>
    <w:uiPriority w:val="99"/>
    <w:unhideWhenUsed/>
    <w:rsid w:val="001D5D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5DC8"/>
  </w:style>
  <w:style w:type="paragraph" w:styleId="a5">
    <w:name w:val="footer"/>
    <w:basedOn w:val="a"/>
    <w:link w:val="a6"/>
    <w:uiPriority w:val="99"/>
    <w:unhideWhenUsed/>
    <w:rsid w:val="001D5D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5DC8"/>
  </w:style>
  <w:style w:type="character" w:customStyle="1" w:styleId="fontstyle01">
    <w:name w:val="fontstyle01"/>
    <w:basedOn w:val="a0"/>
    <w:rsid w:val="00BC53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Дрейлинг Евгений Федорович</dc:creator>
  <cp:keywords/>
  <dc:description/>
  <cp:lastModifiedBy>Пользователь</cp:lastModifiedBy>
  <cp:revision>2</cp:revision>
  <dcterms:created xsi:type="dcterms:W3CDTF">2024-02-21T02:50:00Z</dcterms:created>
  <dcterms:modified xsi:type="dcterms:W3CDTF">2024-02-21T02:50:00Z</dcterms:modified>
</cp:coreProperties>
</file>